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40FE7" w14:textId="7C860892" w:rsidR="00364865" w:rsidRPr="00364865" w:rsidRDefault="00364865" w:rsidP="00364865">
      <w:pPr>
        <w:spacing w:after="0" w:line="240" w:lineRule="auto"/>
        <w:jc w:val="center"/>
        <w:rPr>
          <w:rFonts w:ascii="Courier New" w:eastAsia="Times New Roman" w:hAnsi="Courier New" w:cs="Courier New"/>
          <w:b/>
          <w:bCs/>
          <w:sz w:val="28"/>
          <w:szCs w:val="24"/>
          <w:lang w:eastAsia="de-DE"/>
        </w:rPr>
      </w:pPr>
      <w:bookmarkStart w:id="0" w:name="_GoBack"/>
      <w:bookmarkEnd w:id="0"/>
      <w:r>
        <w:rPr>
          <w:rFonts w:ascii="Courier New" w:eastAsia="Times New Roman" w:hAnsi="Courier New" w:cs="Courier New"/>
          <w:b/>
          <w:bCs/>
          <w:sz w:val="28"/>
          <w:szCs w:val="24"/>
          <w:lang w:eastAsia="de-DE"/>
        </w:rPr>
        <w:t>Auszug aus der</w:t>
      </w:r>
    </w:p>
    <w:p w14:paraId="25B7B82C" w14:textId="77777777" w:rsidR="00364865" w:rsidRPr="00E73A67" w:rsidRDefault="00364865" w:rsidP="00364865">
      <w:pPr>
        <w:spacing w:after="0" w:line="240" w:lineRule="auto"/>
        <w:jc w:val="center"/>
        <w:rPr>
          <w:rFonts w:ascii="Courier New" w:eastAsia="Times New Roman" w:hAnsi="Courier New" w:cs="Courier New"/>
          <w:b/>
          <w:bCs/>
          <w:color w:val="FF0000"/>
          <w:sz w:val="28"/>
          <w:szCs w:val="24"/>
          <w:lang w:eastAsia="de-DE"/>
        </w:rPr>
      </w:pPr>
    </w:p>
    <w:p w14:paraId="5012D148" w14:textId="77777777" w:rsidR="00364865" w:rsidRPr="00E73A67" w:rsidRDefault="00364865" w:rsidP="00364865">
      <w:pPr>
        <w:spacing w:after="0" w:line="240" w:lineRule="auto"/>
        <w:jc w:val="center"/>
        <w:rPr>
          <w:rFonts w:ascii="Courier New" w:eastAsia="Times New Roman" w:hAnsi="Courier New" w:cs="Courier New"/>
          <w:b/>
          <w:bCs/>
          <w:sz w:val="28"/>
          <w:szCs w:val="24"/>
          <w:lang w:val="it-IT" w:eastAsia="de-DE"/>
        </w:rPr>
      </w:pPr>
      <w:r w:rsidRPr="00E73A67">
        <w:rPr>
          <w:rFonts w:ascii="Courier New" w:eastAsia="Times New Roman" w:hAnsi="Courier New" w:cs="Courier New"/>
          <w:b/>
          <w:bCs/>
          <w:sz w:val="28"/>
          <w:szCs w:val="24"/>
          <w:lang w:eastAsia="de-DE"/>
        </w:rPr>
        <w:t>N I E D E R S C H R I F T</w:t>
      </w:r>
      <w:r w:rsidRPr="00E73A67">
        <w:rPr>
          <w:rFonts w:ascii="Courier New" w:eastAsia="Times New Roman" w:hAnsi="Courier New" w:cs="Courier New"/>
          <w:b/>
          <w:bCs/>
          <w:noProof/>
          <w:sz w:val="28"/>
          <w:szCs w:val="24"/>
          <w:lang w:eastAsia="de-DE"/>
        </w:rPr>
        <w:drawing>
          <wp:anchor distT="0" distB="0" distL="114300" distR="114300" simplePos="0" relativeHeight="251659264" behindDoc="1" locked="0" layoutInCell="1" allowOverlap="1" wp14:anchorId="54EB3875" wp14:editId="5EE1CAE7">
            <wp:simplePos x="0" y="0"/>
            <wp:positionH relativeFrom="column">
              <wp:posOffset>5186680</wp:posOffset>
            </wp:positionH>
            <wp:positionV relativeFrom="paragraph">
              <wp:posOffset>-205740</wp:posOffset>
            </wp:positionV>
            <wp:extent cx="485775" cy="561975"/>
            <wp:effectExtent l="0" t="0" r="0" b="0"/>
            <wp:wrapNone/>
            <wp:docPr id="3" name="Grafik 1" descr="C:\Users\BD\AppData\Local\Microsoft\Windows\INetCache\Content.Word\Weidenbach-Wappen-ohne-E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D\AppData\Local\Microsoft\Windows\INetCache\Content.Word\Weidenbach-Wappen-ohne-Eck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564801"/>
                    </a:xfrm>
                    <a:prstGeom prst="rect">
                      <a:avLst/>
                    </a:prstGeom>
                    <a:noFill/>
                    <a:ln>
                      <a:noFill/>
                    </a:ln>
                  </pic:spPr>
                </pic:pic>
              </a:graphicData>
            </a:graphic>
          </wp:anchor>
        </w:drawing>
      </w:r>
    </w:p>
    <w:p w14:paraId="7B267474" w14:textId="77777777" w:rsidR="00364865" w:rsidRDefault="00364865" w:rsidP="00364865">
      <w:pPr>
        <w:spacing w:after="0" w:line="240" w:lineRule="auto"/>
        <w:rPr>
          <w:rFonts w:ascii="Courier New" w:eastAsia="Times New Roman" w:hAnsi="Courier New" w:cs="Courier New"/>
          <w:sz w:val="24"/>
          <w:szCs w:val="24"/>
          <w:lang w:eastAsia="de-DE"/>
        </w:rPr>
      </w:pPr>
    </w:p>
    <w:p w14:paraId="37DEDB7E" w14:textId="4F689B9B" w:rsidR="00364865" w:rsidRPr="00E73A67" w:rsidRDefault="00364865" w:rsidP="00364865">
      <w:pPr>
        <w:spacing w:after="0" w:line="240" w:lineRule="auto"/>
        <w:jc w:val="center"/>
        <w:rPr>
          <w:rFonts w:ascii="Courier New" w:eastAsia="Times New Roman" w:hAnsi="Courier New" w:cs="Courier New"/>
          <w:sz w:val="24"/>
          <w:szCs w:val="24"/>
          <w:lang w:eastAsia="de-DE"/>
        </w:rPr>
      </w:pPr>
      <w:r w:rsidRPr="00E73A67">
        <w:rPr>
          <w:rFonts w:ascii="Courier New" w:eastAsia="Times New Roman" w:hAnsi="Courier New" w:cs="Courier New"/>
          <w:sz w:val="24"/>
          <w:szCs w:val="24"/>
          <w:lang w:eastAsia="de-DE"/>
        </w:rPr>
        <w:t xml:space="preserve">vom </w:t>
      </w:r>
      <w:r>
        <w:rPr>
          <w:rFonts w:ascii="Courier New" w:eastAsia="Times New Roman" w:hAnsi="Courier New" w:cs="Courier New"/>
          <w:sz w:val="24"/>
          <w:szCs w:val="24"/>
          <w:lang w:eastAsia="de-DE"/>
        </w:rPr>
        <w:t>30</w:t>
      </w:r>
      <w:r w:rsidRPr="00E73A67">
        <w:rPr>
          <w:rFonts w:ascii="Courier New" w:eastAsia="Times New Roman" w:hAnsi="Courier New" w:cs="Courier New"/>
          <w:sz w:val="24"/>
          <w:szCs w:val="24"/>
          <w:lang w:eastAsia="de-DE"/>
        </w:rPr>
        <w:t xml:space="preserve">. </w:t>
      </w:r>
      <w:r>
        <w:rPr>
          <w:rFonts w:ascii="Courier New" w:eastAsia="Times New Roman" w:hAnsi="Courier New" w:cs="Courier New"/>
          <w:sz w:val="24"/>
          <w:szCs w:val="24"/>
          <w:lang w:eastAsia="de-DE"/>
        </w:rPr>
        <w:t>November</w:t>
      </w:r>
      <w:r w:rsidRPr="00E73A67">
        <w:rPr>
          <w:rFonts w:ascii="Courier New" w:eastAsia="Times New Roman" w:hAnsi="Courier New" w:cs="Courier New"/>
          <w:sz w:val="24"/>
          <w:szCs w:val="24"/>
          <w:lang w:eastAsia="de-DE"/>
        </w:rPr>
        <w:t xml:space="preserve"> 2021</w:t>
      </w:r>
    </w:p>
    <w:p w14:paraId="7B97504E" w14:textId="77777777" w:rsidR="00364865" w:rsidRPr="00E73A67" w:rsidRDefault="00364865" w:rsidP="00364865">
      <w:pPr>
        <w:spacing w:after="0" w:line="240" w:lineRule="auto"/>
        <w:rPr>
          <w:rFonts w:ascii="Courier New" w:eastAsia="Times New Roman" w:hAnsi="Courier New" w:cs="Courier New"/>
          <w:sz w:val="24"/>
          <w:szCs w:val="24"/>
          <w:lang w:eastAsia="de-DE"/>
        </w:rPr>
      </w:pPr>
    </w:p>
    <w:p w14:paraId="76F0B0E0" w14:textId="77777777" w:rsidR="00364865" w:rsidRPr="00E73A67" w:rsidRDefault="00364865" w:rsidP="00364865">
      <w:pPr>
        <w:spacing w:after="0" w:line="240" w:lineRule="auto"/>
        <w:rPr>
          <w:rFonts w:ascii="Courier New" w:eastAsia="Times New Roman" w:hAnsi="Courier New" w:cs="Courier New"/>
          <w:sz w:val="24"/>
          <w:szCs w:val="24"/>
          <w:lang w:eastAsia="de-DE"/>
        </w:rPr>
      </w:pPr>
    </w:p>
    <w:p w14:paraId="4F33BD87" w14:textId="77777777" w:rsidR="00364865" w:rsidRPr="00E73A67" w:rsidRDefault="00364865" w:rsidP="00364865">
      <w:pPr>
        <w:spacing w:after="0" w:line="240" w:lineRule="auto"/>
        <w:rPr>
          <w:rFonts w:ascii="Courier New" w:eastAsia="Times New Roman" w:hAnsi="Courier New" w:cs="Courier New"/>
          <w:sz w:val="24"/>
          <w:szCs w:val="24"/>
          <w:lang w:eastAsia="de-DE"/>
        </w:rPr>
      </w:pPr>
    </w:p>
    <w:p w14:paraId="0EFAD4D0"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Vor Eintritt in die Tagesordnung informierte der Ortsbürger-meister hinsichtlich des Einwohnerantrages der LED-Gruppe dahingehend, dass die Einladung zur heutigen Sitzung ein-</w:t>
      </w:r>
    </w:p>
    <w:p w14:paraId="1CAC0FDD"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schließlich der Tagesordnung am 18.11.2021 erfolgt ist und der Einwohnerantrag am 25.11.2021 gestellt wurde. In dieser zeitlichen Abfolge liegt begründet, dass der Einwohnerantrag nicht mehr als Tagesordnungspunkt für die heutige Sitzung berücksichtigt werden konnte.</w:t>
      </w:r>
    </w:p>
    <w:p w14:paraId="06F0B11F"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Nachdem der LED-Gruppe durch Ortsbürgermeister Dr. Dartsch die möglichen weiteren Szenarien bezüglich deren Antrages veranschaulicht gemacht worden waren, zog die Interessenge-meinschaft den gestellten Einwohnerantrag ersatzlos zurück.</w:t>
      </w:r>
    </w:p>
    <w:p w14:paraId="5AC7B09A" w14:textId="77777777" w:rsidR="00364865" w:rsidRDefault="00364865" w:rsidP="00364865">
      <w:pPr>
        <w:spacing w:after="0" w:line="240" w:lineRule="auto"/>
        <w:rPr>
          <w:rFonts w:ascii="Courier New" w:eastAsia="Times New Roman" w:hAnsi="Courier New" w:cs="Courier New"/>
          <w:sz w:val="24"/>
          <w:szCs w:val="24"/>
          <w:lang w:eastAsia="de-DE"/>
        </w:rPr>
      </w:pPr>
    </w:p>
    <w:p w14:paraId="2F269F88" w14:textId="77777777" w:rsidR="00364865" w:rsidRPr="00E73A67" w:rsidRDefault="00364865" w:rsidP="00364865">
      <w:pPr>
        <w:spacing w:after="0" w:line="240" w:lineRule="auto"/>
        <w:rPr>
          <w:rFonts w:ascii="Courier New" w:eastAsia="Times New Roman" w:hAnsi="Courier New" w:cs="Courier New"/>
          <w:b/>
          <w:bCs/>
          <w:sz w:val="24"/>
          <w:szCs w:val="24"/>
          <w:lang w:eastAsia="de-DE"/>
        </w:rPr>
      </w:pPr>
    </w:p>
    <w:p w14:paraId="77C2FB3F" w14:textId="77777777" w:rsidR="00364865" w:rsidRPr="008D55C6" w:rsidRDefault="00364865" w:rsidP="00364865">
      <w:pPr>
        <w:keepNext/>
        <w:spacing w:after="0" w:line="240" w:lineRule="auto"/>
        <w:outlineLvl w:val="1"/>
        <w:rPr>
          <w:rFonts w:ascii="Courier New" w:eastAsia="Times New Roman" w:hAnsi="Courier New" w:cs="Courier New"/>
          <w:b/>
          <w:bCs/>
          <w:sz w:val="24"/>
          <w:szCs w:val="24"/>
          <w:lang w:eastAsia="de-DE"/>
        </w:rPr>
      </w:pPr>
      <w:r w:rsidRPr="00E73A67">
        <w:rPr>
          <w:rFonts w:ascii="Courier New" w:eastAsia="Times New Roman" w:hAnsi="Courier New" w:cs="Courier New"/>
          <w:b/>
          <w:bCs/>
          <w:sz w:val="24"/>
          <w:szCs w:val="24"/>
          <w:lang w:eastAsia="de-DE"/>
        </w:rPr>
        <w:t xml:space="preserve">TOP 2   </w:t>
      </w:r>
      <w:r>
        <w:rPr>
          <w:rFonts w:ascii="Courier New" w:eastAsia="Times New Roman" w:hAnsi="Courier New" w:cs="Courier New"/>
          <w:b/>
          <w:bCs/>
          <w:sz w:val="24"/>
          <w:szCs w:val="24"/>
          <w:lang w:eastAsia="de-DE"/>
        </w:rPr>
        <w:t>Einwohnerfragestunde</w:t>
      </w:r>
      <w:r w:rsidRPr="008D55C6">
        <w:rPr>
          <w:rFonts w:ascii="Courier New" w:eastAsia="Times New Roman" w:hAnsi="Courier New" w:cs="Courier New"/>
          <w:b/>
          <w:bCs/>
          <w:sz w:val="24"/>
          <w:szCs w:val="24"/>
          <w:lang w:eastAsia="de-DE"/>
        </w:rPr>
        <w:t xml:space="preserve"> </w:t>
      </w:r>
    </w:p>
    <w:p w14:paraId="04A323DE"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Zur Thematik LED-Umstellung hinsichtlich technischer Details, Kosten, Zukunftsfähigkeit, Amortisation und Justierungsmög-lichkeiten usw. wurden jegliche gestellten Fragen der Ein-wohner durch die Vertreter der Firma Westenergie vollumfäng-lich und sehr detailliert beantwortet.</w:t>
      </w:r>
    </w:p>
    <w:p w14:paraId="01A3A277"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Weiterhin wurden zu den geschilderten individuellen Problem-stellungen jeweils zufriedenstellende Lösungsmöglichkeiten aufgezeigt.</w:t>
      </w:r>
    </w:p>
    <w:p w14:paraId="491CFD79" w14:textId="77777777" w:rsidR="00364865" w:rsidRDefault="00364865" w:rsidP="00364865">
      <w:pPr>
        <w:spacing w:after="0" w:line="240" w:lineRule="auto"/>
        <w:rPr>
          <w:rFonts w:ascii="Courier New" w:eastAsia="Times New Roman" w:hAnsi="Courier New" w:cs="Courier New"/>
          <w:sz w:val="24"/>
          <w:szCs w:val="24"/>
          <w:lang w:eastAsia="de-DE"/>
        </w:rPr>
      </w:pPr>
    </w:p>
    <w:p w14:paraId="7834F162" w14:textId="77777777" w:rsidR="00364865" w:rsidRDefault="00364865" w:rsidP="00364865">
      <w:pPr>
        <w:spacing w:after="0" w:line="240" w:lineRule="auto"/>
        <w:rPr>
          <w:rFonts w:ascii="Courier New" w:eastAsia="Times New Roman" w:hAnsi="Courier New" w:cs="Courier New"/>
          <w:sz w:val="24"/>
          <w:szCs w:val="24"/>
          <w:lang w:eastAsia="de-DE"/>
        </w:rPr>
      </w:pPr>
    </w:p>
    <w:p w14:paraId="221D220E" w14:textId="77777777" w:rsidR="00364865" w:rsidRDefault="00364865" w:rsidP="00364865">
      <w:pPr>
        <w:spacing w:after="0" w:line="240" w:lineRule="auto"/>
        <w:rPr>
          <w:rFonts w:ascii="Courier New" w:eastAsia="Times New Roman" w:hAnsi="Courier New" w:cs="Courier New"/>
          <w:b/>
          <w:bCs/>
          <w:sz w:val="24"/>
          <w:szCs w:val="24"/>
          <w:lang w:eastAsia="de-DE"/>
        </w:rPr>
      </w:pPr>
      <w:r w:rsidRPr="00E73A67">
        <w:rPr>
          <w:rFonts w:ascii="Courier New" w:eastAsia="Times New Roman" w:hAnsi="Courier New" w:cs="Courier New"/>
          <w:b/>
          <w:bCs/>
          <w:sz w:val="24"/>
          <w:szCs w:val="24"/>
          <w:lang w:eastAsia="de-DE"/>
        </w:rPr>
        <w:t xml:space="preserve">TOP </w:t>
      </w:r>
      <w:r>
        <w:rPr>
          <w:rFonts w:ascii="Courier New" w:eastAsia="Times New Roman" w:hAnsi="Courier New" w:cs="Courier New"/>
          <w:b/>
          <w:bCs/>
          <w:sz w:val="24"/>
          <w:szCs w:val="24"/>
          <w:lang w:eastAsia="de-DE"/>
        </w:rPr>
        <w:t>3</w:t>
      </w:r>
      <w:r w:rsidRPr="00E73A67">
        <w:rPr>
          <w:rFonts w:ascii="Courier New" w:eastAsia="Times New Roman" w:hAnsi="Courier New" w:cs="Courier New"/>
          <w:b/>
          <w:bCs/>
          <w:sz w:val="24"/>
          <w:szCs w:val="24"/>
          <w:lang w:eastAsia="de-DE"/>
        </w:rPr>
        <w:t xml:space="preserve">   </w:t>
      </w:r>
      <w:r>
        <w:rPr>
          <w:rFonts w:ascii="Courier New" w:eastAsia="Times New Roman" w:hAnsi="Courier New" w:cs="Courier New"/>
          <w:b/>
          <w:bCs/>
          <w:sz w:val="24"/>
          <w:szCs w:val="24"/>
          <w:lang w:eastAsia="de-DE"/>
        </w:rPr>
        <w:t>Beratung und Beschlussfassung LED-Umstellung Straßen-</w:t>
      </w:r>
    </w:p>
    <w:p w14:paraId="52B04AD3" w14:textId="77777777" w:rsidR="00364865" w:rsidRPr="00E73A67" w:rsidRDefault="00364865" w:rsidP="00364865">
      <w:pPr>
        <w:spacing w:after="0" w:line="240" w:lineRule="auto"/>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 xml:space="preserve">        beleuchtung</w:t>
      </w:r>
    </w:p>
    <w:p w14:paraId="5A671710" w14:textId="643AA664" w:rsidR="00364865" w:rsidRPr="00E73A67" w:rsidRDefault="00364865" w:rsidP="00364865">
      <w:pPr>
        <w:spacing w:after="0" w:line="240" w:lineRule="auto"/>
        <w:rPr>
          <w:rFonts w:ascii="Courier New" w:hAnsi="Courier New" w:cs="Courier New"/>
          <w:sz w:val="24"/>
          <w:szCs w:val="24"/>
        </w:rPr>
      </w:pPr>
      <w:r>
        <w:rPr>
          <w:rFonts w:ascii="Courier New" w:eastAsia="Times New Roman" w:hAnsi="Courier New" w:cs="Courier New"/>
          <w:sz w:val="24"/>
          <w:szCs w:val="24"/>
          <w:lang w:eastAsia="de-DE"/>
        </w:rPr>
        <w:t>Die LED-Umstellung der Straßenbeleuchtung gemäß vorliegendem Angebot wurde einstimmig beschlossen.</w:t>
      </w:r>
    </w:p>
    <w:p w14:paraId="3FECB613" w14:textId="77777777" w:rsidR="00364865" w:rsidRPr="00E13F7E" w:rsidRDefault="00364865" w:rsidP="00364865">
      <w:pPr>
        <w:spacing w:after="0" w:line="240" w:lineRule="auto"/>
        <w:rPr>
          <w:rFonts w:ascii="Courier New" w:eastAsia="Times New Roman" w:hAnsi="Courier New" w:cs="Courier New"/>
          <w:sz w:val="24"/>
          <w:szCs w:val="24"/>
          <w:lang w:eastAsia="de-DE"/>
        </w:rPr>
      </w:pPr>
    </w:p>
    <w:p w14:paraId="7711DB01" w14:textId="77777777" w:rsidR="00364865" w:rsidRDefault="00364865" w:rsidP="00364865">
      <w:pPr>
        <w:spacing w:after="0" w:line="240" w:lineRule="auto"/>
        <w:rPr>
          <w:rFonts w:ascii="Courier New" w:eastAsia="Times New Roman" w:hAnsi="Courier New" w:cs="Courier New"/>
          <w:b/>
          <w:bCs/>
          <w:sz w:val="24"/>
          <w:szCs w:val="24"/>
          <w:lang w:eastAsia="de-DE"/>
        </w:rPr>
      </w:pPr>
    </w:p>
    <w:p w14:paraId="030BA8FB" w14:textId="77777777" w:rsidR="00364865" w:rsidRDefault="00364865" w:rsidP="00364865">
      <w:pPr>
        <w:spacing w:after="0" w:line="240" w:lineRule="auto"/>
        <w:rPr>
          <w:rFonts w:ascii="Courier New" w:eastAsia="Times New Roman" w:hAnsi="Courier New" w:cs="Courier New"/>
          <w:sz w:val="24"/>
          <w:szCs w:val="24"/>
          <w:lang w:eastAsia="de-DE"/>
        </w:rPr>
      </w:pPr>
      <w:bookmarkStart w:id="1" w:name="_Hlk71218365"/>
    </w:p>
    <w:p w14:paraId="715E6326" w14:textId="77777777" w:rsidR="00364865" w:rsidRPr="00E73A67" w:rsidRDefault="00364865" w:rsidP="00364865">
      <w:pPr>
        <w:spacing w:after="0" w:line="240" w:lineRule="auto"/>
        <w:rPr>
          <w:rFonts w:ascii="Courier New" w:eastAsia="Times New Roman" w:hAnsi="Courier New" w:cs="Courier New"/>
          <w:b/>
          <w:bCs/>
          <w:sz w:val="24"/>
          <w:szCs w:val="24"/>
          <w:lang w:eastAsia="de-DE"/>
        </w:rPr>
      </w:pPr>
      <w:r w:rsidRPr="00E73A67">
        <w:rPr>
          <w:rFonts w:ascii="Courier New" w:eastAsia="Times New Roman" w:hAnsi="Courier New" w:cs="Courier New"/>
          <w:b/>
          <w:bCs/>
          <w:sz w:val="24"/>
          <w:szCs w:val="24"/>
          <w:lang w:eastAsia="de-DE"/>
        </w:rPr>
        <w:t xml:space="preserve">TOP </w:t>
      </w:r>
      <w:r>
        <w:rPr>
          <w:rFonts w:ascii="Courier New" w:eastAsia="Times New Roman" w:hAnsi="Courier New" w:cs="Courier New"/>
          <w:b/>
          <w:bCs/>
          <w:sz w:val="24"/>
          <w:szCs w:val="24"/>
          <w:lang w:eastAsia="de-DE"/>
        </w:rPr>
        <w:t>4</w:t>
      </w:r>
      <w:r w:rsidRPr="00E73A67">
        <w:rPr>
          <w:rFonts w:ascii="Courier New" w:eastAsia="Times New Roman" w:hAnsi="Courier New" w:cs="Courier New"/>
          <w:b/>
          <w:bCs/>
          <w:sz w:val="24"/>
          <w:szCs w:val="24"/>
          <w:lang w:eastAsia="de-DE"/>
        </w:rPr>
        <w:t xml:space="preserve">   </w:t>
      </w:r>
      <w:r>
        <w:rPr>
          <w:rFonts w:ascii="Courier New" w:eastAsia="Times New Roman" w:hAnsi="Courier New" w:cs="Courier New"/>
          <w:b/>
          <w:bCs/>
          <w:sz w:val="24"/>
          <w:szCs w:val="24"/>
          <w:lang w:eastAsia="de-DE"/>
        </w:rPr>
        <w:t>Verschiedenes, Informationen, Wünsche und Anregungen</w:t>
      </w:r>
    </w:p>
    <w:p w14:paraId="41F5EE56"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364865">
        <w:rPr>
          <w:rFonts w:ascii="Courier New" w:eastAsia="Times New Roman" w:hAnsi="Courier New" w:cs="Courier New"/>
          <w:i/>
          <w:iCs/>
          <w:sz w:val="24"/>
          <w:szCs w:val="24"/>
          <w:lang w:eastAsia="de-DE"/>
        </w:rPr>
        <w:t>Hangrutsch</w:t>
      </w:r>
    </w:p>
    <w:p w14:paraId="3253DDA8"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Weg „In der Struth / Hubbelsbach“ ist nach fachkundiger </w:t>
      </w:r>
    </w:p>
    <w:p w14:paraId="566B3AD0"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Beurteilung durch den Hangrutsch so stark unterhöhlt, dass </w:t>
      </w:r>
    </w:p>
    <w:p w14:paraId="6ABC3406"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er nicht mehr befahrbar ist und gesperrt werden muss. Die </w:t>
      </w:r>
    </w:p>
    <w:p w14:paraId="5124AAB0"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kostengünstigste und technisch einfachste Lösung wäre die </w:t>
      </w:r>
    </w:p>
    <w:p w14:paraId="06B4F9FB"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Verlegung der Wegführung um ca. 1 Meter in das anliegende </w:t>
      </w:r>
    </w:p>
    <w:p w14:paraId="67E6D611"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Grünland. Der Eigentümer der Wiese ist dieserhalb bereits </w:t>
      </w:r>
    </w:p>
    <w:p w14:paraId="1DAF39BF"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kontaktiert worden.</w:t>
      </w:r>
    </w:p>
    <w:p w14:paraId="6647199E"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Hangrutsch ist zum Teil als Flutschaden gemeldet, für </w:t>
      </w:r>
    </w:p>
    <w:p w14:paraId="50AEBC4E"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dessen Beseitigung die Untere Wasserbehörde zuständig ist. </w:t>
      </w:r>
    </w:p>
    <w:p w14:paraId="5A7AEA7B"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Unterspülung des Weges ist durch Hangwasser verursacht </w:t>
      </w:r>
    </w:p>
    <w:p w14:paraId="38824AF9"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lastRenderedPageBreak/>
        <w:t xml:space="preserve">  und damit nicht als Flutschaden einzuordnen. Hieraus folgt, </w:t>
      </w:r>
    </w:p>
    <w:p w14:paraId="79830793"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dass die Zuständigkeit der Ortsgemeinde obliegt. </w:t>
      </w:r>
    </w:p>
    <w:p w14:paraId="32C6796E"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Entsprechende Angebote zur Behebung werden eingeholt.  </w:t>
      </w:r>
    </w:p>
    <w:bookmarkEnd w:id="1"/>
    <w:p w14:paraId="032D4183" w14:textId="77777777" w:rsidR="00364865" w:rsidRDefault="00364865" w:rsidP="00364865">
      <w:pPr>
        <w:spacing w:after="0" w:line="240" w:lineRule="auto"/>
        <w:rPr>
          <w:rFonts w:ascii="Courier New" w:eastAsia="Times New Roman" w:hAnsi="Courier New" w:cs="Courier New"/>
          <w:b/>
          <w:bCs/>
          <w:sz w:val="24"/>
          <w:szCs w:val="24"/>
          <w:lang w:eastAsia="de-DE"/>
        </w:rPr>
      </w:pPr>
    </w:p>
    <w:p w14:paraId="2A755665"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364865">
        <w:rPr>
          <w:rFonts w:ascii="Courier New" w:eastAsia="Times New Roman" w:hAnsi="Courier New" w:cs="Courier New"/>
          <w:i/>
          <w:iCs/>
          <w:sz w:val="24"/>
          <w:szCs w:val="24"/>
          <w:lang w:eastAsia="de-DE"/>
        </w:rPr>
        <w:t>Scheune „In der Hohl“</w:t>
      </w:r>
    </w:p>
    <w:p w14:paraId="3711019A"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Bevor die Entscheidung über die weitere Vorgehensweise hin-</w:t>
      </w:r>
    </w:p>
    <w:p w14:paraId="227754FA"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sichtlich der Scheune getroffen werden kann, wird Herr </w:t>
      </w:r>
    </w:p>
    <w:p w14:paraId="5703C11A"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Meier um Erteilung eines Angebotes über die auszuführenden </w:t>
      </w:r>
    </w:p>
    <w:p w14:paraId="4613EAD2" w14:textId="77777777" w:rsidR="00364865" w:rsidRPr="00525A13"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Arbeiten gebeten. </w:t>
      </w:r>
    </w:p>
    <w:p w14:paraId="5DE1A5FA" w14:textId="77777777" w:rsidR="00364865" w:rsidRDefault="00364865" w:rsidP="00364865">
      <w:pPr>
        <w:spacing w:after="0" w:line="240" w:lineRule="auto"/>
        <w:rPr>
          <w:rFonts w:ascii="Courier New" w:eastAsia="Times New Roman" w:hAnsi="Courier New" w:cs="Courier New"/>
          <w:b/>
          <w:bCs/>
          <w:sz w:val="24"/>
          <w:szCs w:val="24"/>
          <w:lang w:eastAsia="de-DE"/>
        </w:rPr>
      </w:pPr>
    </w:p>
    <w:p w14:paraId="34A9585D"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364865">
        <w:rPr>
          <w:rFonts w:ascii="Courier New" w:eastAsia="Times New Roman" w:hAnsi="Courier New" w:cs="Courier New"/>
          <w:i/>
          <w:iCs/>
          <w:sz w:val="24"/>
          <w:szCs w:val="24"/>
          <w:lang w:eastAsia="de-DE"/>
        </w:rPr>
        <w:t>Weihnachtsbäckerei</w:t>
      </w:r>
    </w:p>
    <w:p w14:paraId="73A1346F"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Am 11.12.2021 werden mit den Kindern des Ortes im Bürger-</w:t>
      </w:r>
    </w:p>
    <w:p w14:paraId="0A657958"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haus Plätzchen gebacken. Für den Nachmittag ist der Besuch </w:t>
      </w:r>
    </w:p>
    <w:p w14:paraId="71ECD18C"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des Nikolauses vorgesehen. </w:t>
      </w:r>
    </w:p>
    <w:p w14:paraId="252FEAFC" w14:textId="77777777" w:rsidR="00364865" w:rsidRDefault="00364865" w:rsidP="00364865">
      <w:pPr>
        <w:spacing w:after="0" w:line="240" w:lineRule="auto"/>
        <w:rPr>
          <w:rFonts w:ascii="Courier New" w:eastAsia="Times New Roman" w:hAnsi="Courier New" w:cs="Courier New"/>
          <w:sz w:val="24"/>
          <w:szCs w:val="24"/>
          <w:lang w:eastAsia="de-DE"/>
        </w:rPr>
      </w:pPr>
    </w:p>
    <w:p w14:paraId="2D07FF08"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364865">
        <w:rPr>
          <w:rFonts w:ascii="Courier New" w:eastAsia="Times New Roman" w:hAnsi="Courier New" w:cs="Courier New"/>
          <w:i/>
          <w:iCs/>
          <w:sz w:val="24"/>
          <w:szCs w:val="24"/>
          <w:lang w:eastAsia="de-DE"/>
        </w:rPr>
        <w:t>Jagdgenossenschaft</w:t>
      </w:r>
    </w:p>
    <w:p w14:paraId="043216A1"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Mit der Versammlung der Jagdgenossenschaft am 08.12.2021  </w:t>
      </w:r>
    </w:p>
    <w:p w14:paraId="109AD198"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ist ein neuer Jagdvorstand zu wählen.</w:t>
      </w:r>
    </w:p>
    <w:p w14:paraId="1E67630D" w14:textId="77777777" w:rsidR="00364865" w:rsidRDefault="00364865" w:rsidP="00364865">
      <w:pPr>
        <w:spacing w:after="0" w:line="240" w:lineRule="auto"/>
        <w:rPr>
          <w:rFonts w:ascii="Courier New" w:eastAsia="Times New Roman" w:hAnsi="Courier New" w:cs="Courier New"/>
          <w:sz w:val="24"/>
          <w:szCs w:val="24"/>
          <w:lang w:eastAsia="de-DE"/>
        </w:rPr>
      </w:pPr>
    </w:p>
    <w:p w14:paraId="2F53BC69"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364865">
        <w:rPr>
          <w:rFonts w:ascii="Courier New" w:eastAsia="Times New Roman" w:hAnsi="Courier New" w:cs="Courier New"/>
          <w:i/>
          <w:iCs/>
          <w:sz w:val="24"/>
          <w:szCs w:val="24"/>
          <w:lang w:eastAsia="de-DE"/>
        </w:rPr>
        <w:t>Haushalts-Sitzung</w:t>
      </w:r>
    </w:p>
    <w:p w14:paraId="71C74C02" w14:textId="0127B2B2"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Die Haushalts-Sitzung wird nach Rücksprache mit der Ver-</w:t>
      </w:r>
    </w:p>
    <w:p w14:paraId="05BBE27D" w14:textId="7EEDBAE4"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bandsgemeindeverwaltung noch in diesem Jahr stattfinden.</w:t>
      </w:r>
    </w:p>
    <w:p w14:paraId="13EC8F55" w14:textId="77777777" w:rsidR="00364865" w:rsidRDefault="00364865" w:rsidP="00364865">
      <w:pPr>
        <w:spacing w:after="0" w:line="240" w:lineRule="auto"/>
        <w:rPr>
          <w:rFonts w:ascii="Courier New" w:eastAsia="Times New Roman" w:hAnsi="Courier New" w:cs="Courier New"/>
          <w:sz w:val="24"/>
          <w:szCs w:val="24"/>
          <w:lang w:eastAsia="de-DE"/>
        </w:rPr>
      </w:pPr>
    </w:p>
    <w:p w14:paraId="37A030B4"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364865">
        <w:rPr>
          <w:rFonts w:ascii="Courier New" w:eastAsia="Times New Roman" w:hAnsi="Courier New" w:cs="Courier New"/>
          <w:i/>
          <w:iCs/>
          <w:sz w:val="24"/>
          <w:szCs w:val="24"/>
          <w:lang w:eastAsia="de-DE"/>
        </w:rPr>
        <w:t>Abfallablagerung</w:t>
      </w:r>
    </w:p>
    <w:p w14:paraId="1F6E9EA1"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Bezüglich der mehrfach thematisierten Ablagerung von Ab-</w:t>
      </w:r>
    </w:p>
    <w:p w14:paraId="71C84700"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fällen ist bislang keine Veränderung eingetreten.</w:t>
      </w:r>
    </w:p>
    <w:p w14:paraId="04FA63C9" w14:textId="77777777" w:rsidR="00364865" w:rsidRDefault="00364865" w:rsidP="00364865">
      <w:pPr>
        <w:spacing w:after="0" w:line="240" w:lineRule="auto"/>
        <w:rPr>
          <w:rFonts w:ascii="Courier New" w:eastAsia="Times New Roman" w:hAnsi="Courier New" w:cs="Courier New"/>
          <w:sz w:val="24"/>
          <w:szCs w:val="24"/>
          <w:lang w:eastAsia="de-DE"/>
        </w:rPr>
      </w:pPr>
    </w:p>
    <w:p w14:paraId="14D2D8B5"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w:t>
      </w:r>
      <w:r w:rsidRPr="00364865">
        <w:rPr>
          <w:rFonts w:ascii="Courier New" w:eastAsia="Times New Roman" w:hAnsi="Courier New" w:cs="Courier New"/>
          <w:i/>
          <w:iCs/>
          <w:sz w:val="24"/>
          <w:szCs w:val="24"/>
          <w:lang w:eastAsia="de-DE"/>
        </w:rPr>
        <w:t>Gerätschaften</w:t>
      </w:r>
    </w:p>
    <w:p w14:paraId="10AE7C66"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Der Aufsitzrasenmäher der Ortsgemeinde ist zwischenzeitlich </w:t>
      </w:r>
    </w:p>
    <w:p w14:paraId="10E6FC3F"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sehr reparaturanfällig. Nach Vorliegen von Angeboten wird </w:t>
      </w:r>
    </w:p>
    <w:p w14:paraId="0867B04B"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über eine eventuell wirtschaftlich sinnvollere Neuan-</w:t>
      </w:r>
    </w:p>
    <w:p w14:paraId="0CE2D197"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schaffung entschieden. </w:t>
      </w:r>
    </w:p>
    <w:p w14:paraId="748F4500"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Eine Instandsetzung des gemeindeeigenen Hubladers ist er-</w:t>
      </w:r>
    </w:p>
    <w:p w14:paraId="37570537" w14:textId="77777777" w:rsidR="00364865"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forderlich geworden und sollte nach Möglichkeit vor Ort </w:t>
      </w:r>
    </w:p>
    <w:p w14:paraId="206FDE55" w14:textId="77777777" w:rsidR="00364865" w:rsidRPr="00936869" w:rsidRDefault="00364865" w:rsidP="00364865">
      <w:pPr>
        <w:spacing w:after="0" w:line="240" w:lineRule="auto"/>
        <w:rPr>
          <w:rFonts w:ascii="Courier New" w:eastAsia="Times New Roman" w:hAnsi="Courier New" w:cs="Courier New"/>
          <w:sz w:val="24"/>
          <w:szCs w:val="24"/>
          <w:lang w:eastAsia="de-DE"/>
        </w:rPr>
      </w:pPr>
      <w:r>
        <w:rPr>
          <w:rFonts w:ascii="Courier New" w:eastAsia="Times New Roman" w:hAnsi="Courier New" w:cs="Courier New"/>
          <w:sz w:val="24"/>
          <w:szCs w:val="24"/>
          <w:lang w:eastAsia="de-DE"/>
        </w:rPr>
        <w:t xml:space="preserve">  durchgeführt werden. </w:t>
      </w:r>
    </w:p>
    <w:p w14:paraId="7EB12410" w14:textId="77777777" w:rsidR="00364865" w:rsidRDefault="00364865" w:rsidP="00364865">
      <w:pPr>
        <w:spacing w:after="0" w:line="240" w:lineRule="auto"/>
        <w:rPr>
          <w:rFonts w:ascii="Courier New" w:eastAsia="Times New Roman" w:hAnsi="Courier New" w:cs="Courier New"/>
          <w:b/>
          <w:bCs/>
          <w:sz w:val="24"/>
          <w:szCs w:val="24"/>
          <w:lang w:eastAsia="de-DE"/>
        </w:rPr>
      </w:pPr>
    </w:p>
    <w:sectPr w:rsidR="00364865" w:rsidSect="00C93D17">
      <w:headerReference w:type="default" r:id="rId8"/>
      <w:pgSz w:w="11906" w:h="16838" w:code="9"/>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D19E8" w14:textId="77777777" w:rsidR="0048263C" w:rsidRDefault="0048263C">
      <w:pPr>
        <w:spacing w:after="0" w:line="240" w:lineRule="auto"/>
      </w:pPr>
      <w:r>
        <w:separator/>
      </w:r>
    </w:p>
  </w:endnote>
  <w:endnote w:type="continuationSeparator" w:id="0">
    <w:p w14:paraId="1FD8895F" w14:textId="77777777" w:rsidR="0048263C" w:rsidRDefault="0048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9C3D0" w14:textId="77777777" w:rsidR="0048263C" w:rsidRDefault="0048263C">
      <w:pPr>
        <w:spacing w:after="0" w:line="240" w:lineRule="auto"/>
      </w:pPr>
      <w:r>
        <w:separator/>
      </w:r>
    </w:p>
  </w:footnote>
  <w:footnote w:type="continuationSeparator" w:id="0">
    <w:p w14:paraId="74FF9ADE" w14:textId="77777777" w:rsidR="0048263C" w:rsidRDefault="0048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1211"/>
      <w:docPartObj>
        <w:docPartGallery w:val="Page Numbers (Top of Page)"/>
        <w:docPartUnique/>
      </w:docPartObj>
    </w:sdtPr>
    <w:sdtEndPr/>
    <w:sdtContent>
      <w:p w14:paraId="1731D710" w14:textId="77777777" w:rsidR="00C93D17" w:rsidRDefault="00257743">
        <w:pPr>
          <w:pStyle w:val="Kopfzeile"/>
          <w:jc w:val="center"/>
        </w:pPr>
        <w:r w:rsidRPr="000A147D">
          <w:rPr>
            <w:rFonts w:ascii="Courier New" w:hAnsi="Courier New" w:cs="Courier New"/>
          </w:rPr>
          <w:t xml:space="preserve">- </w:t>
        </w:r>
        <w:r w:rsidRPr="000A147D">
          <w:rPr>
            <w:rFonts w:ascii="Courier New" w:hAnsi="Courier New" w:cs="Courier New"/>
          </w:rPr>
          <w:fldChar w:fldCharType="begin"/>
        </w:r>
        <w:r w:rsidRPr="000A147D">
          <w:rPr>
            <w:rFonts w:ascii="Courier New" w:hAnsi="Courier New" w:cs="Courier New"/>
          </w:rPr>
          <w:instrText xml:space="preserve"> PAGE   \* MERGEFORMAT </w:instrText>
        </w:r>
        <w:r w:rsidRPr="000A147D">
          <w:rPr>
            <w:rFonts w:ascii="Courier New" w:hAnsi="Courier New" w:cs="Courier New"/>
          </w:rPr>
          <w:fldChar w:fldCharType="separate"/>
        </w:r>
        <w:r>
          <w:rPr>
            <w:rFonts w:ascii="Courier New" w:hAnsi="Courier New" w:cs="Courier New"/>
            <w:noProof/>
          </w:rPr>
          <w:t>4</w:t>
        </w:r>
        <w:r w:rsidRPr="000A147D">
          <w:rPr>
            <w:rFonts w:ascii="Courier New" w:hAnsi="Courier New" w:cs="Courier New"/>
          </w:rPr>
          <w:fldChar w:fldCharType="end"/>
        </w:r>
        <w:r w:rsidRPr="000A147D">
          <w:rPr>
            <w:rFonts w:ascii="Courier New" w:hAnsi="Courier New" w:cs="Courier New"/>
          </w:rPr>
          <w:t xml:space="preserve"> -</w:t>
        </w:r>
      </w:p>
    </w:sdtContent>
  </w:sdt>
  <w:p w14:paraId="6E143DCD" w14:textId="77777777" w:rsidR="00C93D17" w:rsidRDefault="004826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4679A"/>
    <w:multiLevelType w:val="hybridMultilevel"/>
    <w:tmpl w:val="441EC82C"/>
    <w:lvl w:ilvl="0" w:tplc="B6DA4082">
      <w:numFmt w:val="bullet"/>
      <w:lvlText w:val="-"/>
      <w:lvlJc w:val="left"/>
      <w:pPr>
        <w:tabs>
          <w:tab w:val="num" w:pos="720"/>
        </w:tabs>
        <w:ind w:left="720" w:hanging="360"/>
      </w:pPr>
      <w:rPr>
        <w:rFonts w:ascii="Times New Roman" w:eastAsia="Times New Roman" w:hAnsi="Times New Roman" w:cs="Times New Roman" w:hint="default"/>
      </w:rPr>
    </w:lvl>
    <w:lvl w:ilvl="1" w:tplc="37B0CC32">
      <w:numFmt w:val="bullet"/>
      <w:lvlText w:val=""/>
      <w:lvlJc w:val="left"/>
      <w:pPr>
        <w:tabs>
          <w:tab w:val="num" w:pos="1500"/>
        </w:tabs>
        <w:ind w:left="1500" w:hanging="420"/>
      </w:pPr>
      <w:rPr>
        <w:rFonts w:ascii="Wingdings" w:eastAsia="Times New Roman" w:hAnsi="Wingdings"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65"/>
    <w:rsid w:val="00257743"/>
    <w:rsid w:val="00364865"/>
    <w:rsid w:val="0048263C"/>
    <w:rsid w:val="008035A8"/>
    <w:rsid w:val="00D27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CCEF"/>
  <w15:chartTrackingRefBased/>
  <w15:docId w15:val="{34460556-BB09-4A34-A9E6-F615DC84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48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64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6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BD</cp:lastModifiedBy>
  <cp:revision>2</cp:revision>
  <dcterms:created xsi:type="dcterms:W3CDTF">2021-12-23T17:44:00Z</dcterms:created>
  <dcterms:modified xsi:type="dcterms:W3CDTF">2021-12-23T17:44:00Z</dcterms:modified>
</cp:coreProperties>
</file>